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3510BD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D30E9B">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8515C1">
        <w:rPr>
          <w:bCs/>
          <w:noProof w:val="0"/>
          <w:sz w:val="24"/>
          <w:szCs w:val="24"/>
        </w:rPr>
        <w:t>01004</w:t>
      </w:r>
    </w:p>
    <w:p w14:paraId="11776FA6" w14:textId="234F532F" w:rsidR="00A209D6" w:rsidRPr="00465587" w:rsidRDefault="005E7CF1"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9376CD">
        <w:rPr>
          <w:rFonts w:eastAsia="SimSun"/>
          <w:bCs/>
          <w:sz w:val="24"/>
          <w:szCs w:val="24"/>
          <w:lang w:eastAsia="zh-CN"/>
        </w:rPr>
        <w:t>24</w:t>
      </w:r>
      <w:r w:rsidR="006574C0" w:rsidRPr="006574C0">
        <w:rPr>
          <w:rFonts w:eastAsia="SimSun"/>
          <w:bCs/>
          <w:sz w:val="24"/>
          <w:szCs w:val="24"/>
          <w:lang w:eastAsia="zh-CN"/>
        </w:rPr>
        <w:t xml:space="preserve"> </w:t>
      </w:r>
      <w:r w:rsidR="008F3DCD">
        <w:rPr>
          <w:rFonts w:eastAsia="SimSun"/>
          <w:bCs/>
          <w:sz w:val="24"/>
          <w:szCs w:val="24"/>
          <w:lang w:eastAsia="zh-CN"/>
        </w:rPr>
        <w:t>Feb</w:t>
      </w:r>
      <w:r w:rsidR="00AB77F9">
        <w:rPr>
          <w:rFonts w:eastAsia="SimSun"/>
          <w:bCs/>
          <w:sz w:val="24"/>
          <w:szCs w:val="24"/>
          <w:lang w:eastAsia="zh-CN"/>
        </w:rPr>
        <w:t xml:space="preserve"> – 6 Mar</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CFCAA4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23997">
        <w:rPr>
          <w:rFonts w:cs="Arial"/>
          <w:b/>
          <w:bCs/>
          <w:sz w:val="24"/>
          <w:lang w:eastAsia="ja-JP"/>
        </w:rPr>
        <w:t>6.9.</w:t>
      </w:r>
      <w:r w:rsidR="008515C1">
        <w:rPr>
          <w:rFonts w:cs="Arial"/>
          <w:b/>
          <w:bCs/>
          <w:sz w:val="24"/>
          <w:lang w:eastAsia="ja-JP"/>
        </w:rPr>
        <w:t>3.3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09DADD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7240F">
        <w:rPr>
          <w:rFonts w:ascii="Arial" w:hAnsi="Arial" w:cs="Arial"/>
          <w:b/>
          <w:bCs/>
          <w:sz w:val="24"/>
        </w:rPr>
        <w:t xml:space="preserve">On </w:t>
      </w:r>
      <w:r w:rsidR="00DE4546">
        <w:rPr>
          <w:rFonts w:ascii="Arial" w:hAnsi="Arial" w:cs="Arial"/>
          <w:b/>
          <w:bCs/>
          <w:sz w:val="24"/>
        </w:rPr>
        <w:t>serving cell’s radio link status reporting for CHO preparation</w:t>
      </w:r>
      <w:r w:rsidR="00D30E9B">
        <w:rPr>
          <w:rFonts w:ascii="Arial" w:hAnsi="Arial" w:cs="Arial"/>
          <w:b/>
          <w:bCs/>
          <w:sz w:val="24"/>
        </w:rPr>
        <w:t xml:space="preserve"> </w:t>
      </w:r>
    </w:p>
    <w:p w14:paraId="1F147C23" w14:textId="027C76A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7240F" w:rsidRPr="00E7240F">
        <w:rPr>
          <w:rFonts w:ascii="Arial" w:hAnsi="Arial" w:cs="Arial"/>
          <w:b/>
          <w:bCs/>
          <w:sz w:val="24"/>
        </w:rPr>
        <w:t>NR_Mob_enh</w:t>
      </w:r>
      <w:proofErr w:type="spellEnd"/>
      <w:r w:rsidR="00E7240F" w:rsidRPr="00E7240F">
        <w:rPr>
          <w:rFonts w:ascii="Arial" w:hAnsi="Arial" w:cs="Arial"/>
          <w:b/>
          <w:bCs/>
          <w:sz w:val="24"/>
        </w:rPr>
        <w:t xml:space="preserve">-Core </w:t>
      </w:r>
      <w:r>
        <w:rPr>
          <w:rFonts w:ascii="Arial" w:hAnsi="Arial" w:cs="Arial"/>
          <w:b/>
          <w:bCs/>
          <w:sz w:val="24"/>
        </w:rPr>
        <w:t xml:space="preserve">- Release </w:t>
      </w:r>
      <w:r w:rsidR="00E7240F">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78BBD8CF" w:rsidR="007F2E08" w:rsidRPr="006E13D1" w:rsidRDefault="00E33AE0" w:rsidP="0002355C">
      <w:pPr>
        <w:jc w:val="both"/>
      </w:pPr>
      <w:r>
        <w:t>Conditional Handover (CHO) is specified as a part of Rel-16 for LTE and NR. The network may configure the UE for measurement triggering and reporting which could subsequently lead to configuring the CHO or legacy HO. This paper is aimed at depicting potential risks associated with such procedure.</w:t>
      </w:r>
    </w:p>
    <w:p w14:paraId="2BBFF540" w14:textId="37D1BD6A" w:rsidR="00A209D6" w:rsidRPr="006E13D1" w:rsidRDefault="00A209D6" w:rsidP="0002355C">
      <w:pPr>
        <w:pStyle w:val="Heading1"/>
        <w:jc w:val="both"/>
      </w:pPr>
      <w:r w:rsidRPr="006E13D1">
        <w:t>2</w:t>
      </w:r>
      <w:r w:rsidRPr="006E13D1">
        <w:tab/>
      </w:r>
      <w:r w:rsidR="001E4D38">
        <w:t>Discussion</w:t>
      </w:r>
    </w:p>
    <w:p w14:paraId="1CF5D426" w14:textId="6AC2A00B" w:rsidR="001E4D38" w:rsidRDefault="001E4D38" w:rsidP="0002355C">
      <w:pPr>
        <w:pStyle w:val="Heading2"/>
        <w:jc w:val="both"/>
      </w:pPr>
      <w:bookmarkStart w:id="0" w:name="_Hlk32248485"/>
      <w:r>
        <w:t>2</w:t>
      </w:r>
      <w:r w:rsidRPr="006E13D1">
        <w:t>.1</w:t>
      </w:r>
      <w:r w:rsidRPr="006E13D1">
        <w:tab/>
      </w:r>
      <w:r w:rsidR="008A2C52">
        <w:t xml:space="preserve">Serving </w:t>
      </w:r>
      <w:bookmarkEnd w:id="0"/>
      <w:r w:rsidR="008A2C52">
        <w:t xml:space="preserve">cell behaviour </w:t>
      </w:r>
    </w:p>
    <w:p w14:paraId="102C86EA" w14:textId="70B9D3E4" w:rsidR="001254A7" w:rsidRDefault="00036E95" w:rsidP="0002355C">
      <w:pPr>
        <w:jc w:val="both"/>
      </w:pPr>
      <w:r>
        <w:t>For the sake of configuring the CHO, NW may set the triggering threshold such that the neighbouring cell’s quality or signal level is the same or even still worse than serving cell’s measurements. Obviously</w:t>
      </w:r>
      <w:r w:rsidR="005E7CF1">
        <w:t>,</w:t>
      </w:r>
      <w:r>
        <w:t xml:space="preserve"> the ultimate decision what kind of </w:t>
      </w:r>
      <w:r w:rsidR="005E7CF1">
        <w:t>actions to take</w:t>
      </w:r>
      <w:r w:rsidR="001254A7">
        <w:t xml:space="preserve"> after </w:t>
      </w:r>
      <w:r w:rsidR="005E7CF1">
        <w:t>receiv</w:t>
      </w:r>
      <w:r w:rsidR="001254A7">
        <w:t>ing the</w:t>
      </w:r>
      <w:r w:rsidR="005E7CF1">
        <w:t xml:space="preserve"> report is a NW</w:t>
      </w:r>
      <w:r w:rsidR="00753565">
        <w:t>-specific</w:t>
      </w:r>
      <w:r w:rsidR="005E7CF1">
        <w:t xml:space="preserve"> behaviour</w:t>
      </w:r>
      <w:r w:rsidR="001254A7">
        <w:t xml:space="preserve"> and done</w:t>
      </w:r>
      <w:r w:rsidR="00753565">
        <w:t xml:space="preserve"> not only on the basis of what is provided in </w:t>
      </w:r>
      <w:r w:rsidR="001254A7">
        <w:t xml:space="preserve">the </w:t>
      </w:r>
      <w:r w:rsidR="00753565">
        <w:t>MR.</w:t>
      </w:r>
      <w:r w:rsidR="005E7CF1">
        <w:t xml:space="preserve"> The measurement reports are usually</w:t>
      </w:r>
      <w:r w:rsidR="00753565">
        <w:t xml:space="preserve"> focused on what has been measured </w:t>
      </w:r>
      <w:r w:rsidR="00AB77F9">
        <w:t>for</w:t>
      </w:r>
      <w:r w:rsidR="00753565">
        <w:t xml:space="preserve"> the cells/carriers in the vicinity, </w:t>
      </w:r>
      <w:r w:rsidR="001254A7">
        <w:t xml:space="preserve">while </w:t>
      </w:r>
      <w:r w:rsidR="00753565">
        <w:t xml:space="preserve">not necessarily oriented around the </w:t>
      </w:r>
      <w:r w:rsidR="00AB77F9">
        <w:t xml:space="preserve">serving cell’s </w:t>
      </w:r>
      <w:r w:rsidR="00753565">
        <w:t xml:space="preserve">signal level/quality. Even though the UE may be configured to measure </w:t>
      </w:r>
      <w:r w:rsidR="001254A7">
        <w:t>and report RSRP/RSRQ/SINR of the serving cell, the NW does not know the exact link monitoring status of the serving cell, e.g. out-of-sync (OOS) indications, which could lead to the expiry of timer T310 and radio link failure (RLF) declaration.</w:t>
      </w:r>
    </w:p>
    <w:p w14:paraId="4DB386ED" w14:textId="28705F53" w:rsidR="001254A7" w:rsidRPr="0014253A" w:rsidRDefault="001254A7" w:rsidP="0002355C">
      <w:pPr>
        <w:jc w:val="both"/>
        <w:rPr>
          <w:b/>
          <w:bCs/>
        </w:rPr>
      </w:pPr>
      <w:r w:rsidRPr="0014253A">
        <w:rPr>
          <w:b/>
          <w:bCs/>
        </w:rPr>
        <w:t>Observation 1:</w:t>
      </w:r>
      <w:r w:rsidR="00AB77F9" w:rsidRPr="0014253A">
        <w:rPr>
          <w:b/>
          <w:bCs/>
        </w:rPr>
        <w:t xml:space="preserve"> Measurement Report alone does not provide the NW extensive knowledge on the serving cell link status, such as OOS</w:t>
      </w:r>
      <w:r w:rsidR="00CF4DD1">
        <w:rPr>
          <w:b/>
          <w:bCs/>
        </w:rPr>
        <w:t>s</w:t>
      </w:r>
      <w:r w:rsidR="00AB77F9" w:rsidRPr="0014253A">
        <w:rPr>
          <w:b/>
          <w:bCs/>
        </w:rPr>
        <w:t>, etc.</w:t>
      </w:r>
    </w:p>
    <w:p w14:paraId="1D5BA084" w14:textId="065F3077" w:rsidR="0058729B" w:rsidRDefault="00EC7AAE" w:rsidP="0002355C">
      <w:pPr>
        <w:jc w:val="both"/>
      </w:pPr>
      <w:r>
        <w:t>Thus, if the NW receives a measurement report which was triggered</w:t>
      </w:r>
      <w:r w:rsidR="00CF4DD1">
        <w:t>,</w:t>
      </w:r>
      <w:r>
        <w:t xml:space="preserve"> e.g. based on A3 event, the NW does not know whether the UE ha</w:t>
      </w:r>
      <w:r w:rsidR="005D1170">
        <w:t xml:space="preserve">d </w:t>
      </w:r>
      <w:r>
        <w:t>T310</w:t>
      </w:r>
      <w:r w:rsidR="005D1170">
        <w:t xml:space="preserve"> running at the time of sending the report</w:t>
      </w:r>
      <w:r>
        <w:t xml:space="preserve"> or if an</w:t>
      </w:r>
      <w:r w:rsidR="0014253A">
        <w:t>other</w:t>
      </w:r>
      <w:r>
        <w:t xml:space="preserve"> serving cell’s quality related criteria have been met which </w:t>
      </w:r>
      <w:r w:rsidR="0014253A">
        <w:t xml:space="preserve">may </w:t>
      </w:r>
      <w:r w:rsidR="005D1170">
        <w:t>imply the quality is deteriorating fast</w:t>
      </w:r>
      <w:r w:rsidR="002E3683">
        <w:t>. As a result, i</w:t>
      </w:r>
      <w:r w:rsidR="005D1170">
        <w:t xml:space="preserve">t </w:t>
      </w:r>
      <w:r w:rsidR="002E3683">
        <w:t>might be</w:t>
      </w:r>
      <w:r w:rsidR="0014253A">
        <w:t xml:space="preserve"> already</w:t>
      </w:r>
      <w:r w:rsidR="005D1170">
        <w:t xml:space="preserve"> too risky to prepare a CHO (even if MR triggered ‘early’</w:t>
      </w:r>
      <w:r w:rsidR="0014253A">
        <w:t>, in terms of the neighbouring cell’s quality</w:t>
      </w:r>
      <w:r w:rsidR="005D1170">
        <w:t xml:space="preserve">). </w:t>
      </w:r>
    </w:p>
    <w:p w14:paraId="64C8AF3D" w14:textId="1037F15F" w:rsidR="00EE38B7" w:rsidRPr="002E3683" w:rsidRDefault="0058729B" w:rsidP="0002355C">
      <w:pPr>
        <w:jc w:val="both"/>
        <w:rPr>
          <w:b/>
          <w:bCs/>
        </w:rPr>
      </w:pPr>
      <w:r w:rsidRPr="002E3683">
        <w:rPr>
          <w:b/>
          <w:bCs/>
        </w:rPr>
        <w:t xml:space="preserve">Observation 2: </w:t>
      </w:r>
      <w:r w:rsidR="00EC7AAE" w:rsidRPr="002E3683">
        <w:rPr>
          <w:b/>
          <w:bCs/>
        </w:rPr>
        <w:t xml:space="preserve"> </w:t>
      </w:r>
      <w:r w:rsidR="002E3683" w:rsidRPr="002E3683">
        <w:rPr>
          <w:b/>
          <w:bCs/>
        </w:rPr>
        <w:t>When MR for preparing the CHO triggers, serving cell’s quality may be already too bad (e.g. T310 running) to allow CHO preparation.</w:t>
      </w:r>
    </w:p>
    <w:p w14:paraId="01F7A29D" w14:textId="4B2BA830" w:rsidR="00EE38B7" w:rsidRDefault="00EE38B7">
      <w:pPr>
        <w:pStyle w:val="Heading2"/>
      </w:pPr>
      <w:r>
        <w:t>2.2 Additional indications</w:t>
      </w:r>
      <w:r w:rsidR="00836006">
        <w:t xml:space="preserve"> in MR</w:t>
      </w:r>
    </w:p>
    <w:p w14:paraId="451D0059" w14:textId="0BC70443" w:rsidR="00EE38B7" w:rsidRDefault="00EE38B7" w:rsidP="00EE38B7">
      <w:r>
        <w:t>To mitigate the risk described in the preceding subsectio</w:t>
      </w:r>
      <w:r w:rsidR="002E3683">
        <w:t>n, measurement reports may contain more information to help the serving node in taking the appropriate decision.</w:t>
      </w:r>
      <w:r w:rsidR="00836006">
        <w:t xml:space="preserve"> In the simplest form, the indication could say whether T310 or T312 has been initiated for this serving link. Such knowledge is currently not available to the NW</w:t>
      </w:r>
      <w:r w:rsidR="00762E3E">
        <w:t xml:space="preserve"> together with the MR</w:t>
      </w:r>
      <w:r w:rsidR="00836006">
        <w:t>, whereas it could seriously impact the final decision whether it is still acceptable and safe to configure the CHO</w:t>
      </w:r>
      <w:r w:rsidR="00944B12">
        <w:t>,</w:t>
      </w:r>
      <w:r w:rsidR="00836006">
        <w:t xml:space="preserve"> or the quality of the link is </w:t>
      </w:r>
      <w:r w:rsidR="00536C5C">
        <w:t xml:space="preserve">already </w:t>
      </w:r>
      <w:r w:rsidR="00836006">
        <w:t>so bad that the immediate HO shall be commanded</w:t>
      </w:r>
      <w:r w:rsidR="00762E3E">
        <w:t>.</w:t>
      </w:r>
    </w:p>
    <w:p w14:paraId="154E5E8A" w14:textId="464E2736" w:rsidR="00836006" w:rsidRPr="001B145D" w:rsidRDefault="00836006" w:rsidP="00EE38B7">
      <w:pPr>
        <w:rPr>
          <w:b/>
          <w:bCs/>
        </w:rPr>
      </w:pPr>
      <w:r w:rsidRPr="001B145D">
        <w:rPr>
          <w:b/>
          <w:bCs/>
        </w:rPr>
        <w:t>Proposal 1:</w:t>
      </w:r>
      <w:r w:rsidR="00536C5C" w:rsidRPr="001B145D">
        <w:rPr>
          <w:b/>
          <w:bCs/>
        </w:rPr>
        <w:t xml:space="preserve"> To improve CHO performance</w:t>
      </w:r>
      <w:r w:rsidR="001B145D" w:rsidRPr="001B145D">
        <w:rPr>
          <w:b/>
          <w:bCs/>
        </w:rPr>
        <w:t xml:space="preserve"> by</w:t>
      </w:r>
      <w:r w:rsidR="00536C5C" w:rsidRPr="001B145D">
        <w:rPr>
          <w:b/>
          <w:bCs/>
        </w:rPr>
        <w:t xml:space="preserve"> help</w:t>
      </w:r>
      <w:r w:rsidR="001B145D" w:rsidRPr="001B145D">
        <w:rPr>
          <w:b/>
          <w:bCs/>
        </w:rPr>
        <w:t>ing</w:t>
      </w:r>
      <w:r w:rsidR="00536C5C" w:rsidRPr="001B145D">
        <w:rPr>
          <w:b/>
          <w:bCs/>
        </w:rPr>
        <w:t xml:space="preserve"> the NW in taking proper </w:t>
      </w:r>
      <w:r w:rsidR="00944B12">
        <w:rPr>
          <w:b/>
          <w:bCs/>
        </w:rPr>
        <w:t xml:space="preserve">mobility </w:t>
      </w:r>
      <w:r w:rsidR="001B145D" w:rsidRPr="001B145D">
        <w:rPr>
          <w:b/>
          <w:bCs/>
        </w:rPr>
        <w:t xml:space="preserve">triggering </w:t>
      </w:r>
      <w:r w:rsidR="00536C5C" w:rsidRPr="001B145D">
        <w:rPr>
          <w:b/>
          <w:bCs/>
        </w:rPr>
        <w:t>decision, RAN2 is asked to consider</w:t>
      </w:r>
      <w:r w:rsidR="001B145D" w:rsidRPr="001B145D">
        <w:rPr>
          <w:b/>
          <w:bCs/>
        </w:rPr>
        <w:t xml:space="preserve"> extending the measurement report with serving radio link status information.</w:t>
      </w:r>
      <w:r w:rsidR="00536C5C" w:rsidRPr="001B145D">
        <w:rPr>
          <w:b/>
          <w:bCs/>
        </w:rPr>
        <w:t xml:space="preserve"> </w:t>
      </w:r>
    </w:p>
    <w:p w14:paraId="48A29242" w14:textId="5D2CE148" w:rsidR="00836006" w:rsidRDefault="00836006" w:rsidP="00593891">
      <w:pPr>
        <w:jc w:val="both"/>
      </w:pPr>
      <w:r>
        <w:t xml:space="preserve">One can </w:t>
      </w:r>
      <w:r w:rsidR="00944B12">
        <w:t>argue that</w:t>
      </w:r>
      <w:r>
        <w:t xml:space="preserve"> if the quality of the</w:t>
      </w:r>
      <w:r w:rsidR="00944B12">
        <w:t xml:space="preserve"> serving</w:t>
      </w:r>
      <w:r>
        <w:t xml:space="preserve"> link is already so bad,</w:t>
      </w:r>
      <w:r w:rsidR="00944B12">
        <w:t xml:space="preserve"> then anyway such MR will not reach t</w:t>
      </w:r>
      <w:r w:rsidR="00762E3E">
        <w:t>he</w:t>
      </w:r>
      <w:r w:rsidR="00944B12">
        <w:t xml:space="preserve"> NW and RLF will be triggered shortly afterwards. </w:t>
      </w:r>
      <w:r w:rsidR="00593891">
        <w:t>While i</w:t>
      </w:r>
      <w:r w:rsidR="00D85698">
        <w:t xml:space="preserve">n some cases this may be true, the same counter-argument could be used to question the </w:t>
      </w:r>
      <w:r w:rsidR="00762E3E">
        <w:t>motivation for</w:t>
      </w:r>
      <w:r w:rsidR="00D85698">
        <w:t xml:space="preserve"> T312 and associated MR (which some may claim will not reach the NW anyway). </w:t>
      </w:r>
    </w:p>
    <w:p w14:paraId="01B68613" w14:textId="25B0A0E6" w:rsidR="00D85698" w:rsidRDefault="00D85698" w:rsidP="00593891">
      <w:pPr>
        <w:jc w:val="both"/>
      </w:pPr>
      <w:r>
        <w:t>The exemplary message flow may look as depicted in Fig. 1.</w:t>
      </w:r>
    </w:p>
    <w:p w14:paraId="509168A0" w14:textId="77777777" w:rsidR="00D85698" w:rsidRDefault="00D85698" w:rsidP="00D85698">
      <w:pPr>
        <w:keepNext/>
        <w:jc w:val="center"/>
      </w:pPr>
      <w:r>
        <w:rPr>
          <w:noProof/>
        </w:rPr>
        <w:lastRenderedPageBreak/>
        <w:drawing>
          <wp:inline distT="0" distB="0" distL="0" distR="0" wp14:anchorId="23DE3BB3" wp14:editId="7CECA06B">
            <wp:extent cx="3571875" cy="2505075"/>
            <wp:effectExtent l="0" t="0" r="9525" b="9525"/>
            <wp:docPr id="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L_status_CHO.png"/>
                    <pic:cNvPicPr/>
                  </pic:nvPicPr>
                  <pic:blipFill>
                    <a:blip r:embed="rId13">
                      <a:extLst>
                        <a:ext uri="{28A0092B-C50C-407E-A947-70E740481C1C}">
                          <a14:useLocalDpi xmlns:a14="http://schemas.microsoft.com/office/drawing/2010/main" val="0"/>
                        </a:ext>
                      </a:extLst>
                    </a:blip>
                    <a:stretch>
                      <a:fillRect/>
                    </a:stretch>
                  </pic:blipFill>
                  <pic:spPr>
                    <a:xfrm>
                      <a:off x="0" y="0"/>
                      <a:ext cx="3571875" cy="2505075"/>
                    </a:xfrm>
                    <a:prstGeom prst="rect">
                      <a:avLst/>
                    </a:prstGeom>
                  </pic:spPr>
                </pic:pic>
              </a:graphicData>
            </a:graphic>
          </wp:inline>
        </w:drawing>
      </w:r>
    </w:p>
    <w:p w14:paraId="41875751" w14:textId="5EFC15C5" w:rsidR="00D85698" w:rsidRDefault="00D85698" w:rsidP="00D85698">
      <w:pPr>
        <w:pStyle w:val="Caption"/>
        <w:jc w:val="center"/>
      </w:pPr>
      <w:r>
        <w:t xml:space="preserve">Fig. </w:t>
      </w:r>
      <w:fldSimple w:instr=" SEQ Figure \* ARABIC ">
        <w:r>
          <w:rPr>
            <w:noProof/>
          </w:rPr>
          <w:t>1</w:t>
        </w:r>
      </w:fldSimple>
      <w:r>
        <w:t xml:space="preserve"> Measurement Report extended with serving RL status</w:t>
      </w:r>
    </w:p>
    <w:p w14:paraId="2D74D0F8" w14:textId="7EB11DC8" w:rsidR="00D85698" w:rsidRDefault="00D85698" w:rsidP="00EE38B7">
      <w:r>
        <w:t xml:space="preserve">As can be seen in Fig. 1, the UE inserts into the MR not only the usual content, but also the information concerning the serving cell’s radio link status. </w:t>
      </w:r>
      <w:proofErr w:type="spellStart"/>
      <w:r w:rsidR="009D1067" w:rsidRPr="00DE4546">
        <w:rPr>
          <w:i/>
          <w:iCs/>
        </w:rPr>
        <w:t>EventTriggerConfig</w:t>
      </w:r>
      <w:proofErr w:type="spellEnd"/>
      <w:r w:rsidR="009D1067">
        <w:t xml:space="preserve"> </w:t>
      </w:r>
      <w:r w:rsidR="00762E3E">
        <w:t>Information Element (</w:t>
      </w:r>
      <w:r w:rsidR="009D1067">
        <w:t>IE</w:t>
      </w:r>
      <w:r w:rsidR="00762E3E">
        <w:t>)</w:t>
      </w:r>
      <w:r w:rsidR="00DE4546">
        <w:t xml:space="preserve"> </w:t>
      </w:r>
      <w:r w:rsidR="00DE4546">
        <w:fldChar w:fldCharType="begin"/>
      </w:r>
      <w:r w:rsidR="00DE4546">
        <w:instrText xml:space="preserve"> REF _Ref32327441 \r \h </w:instrText>
      </w:r>
      <w:r w:rsidR="00DE4546">
        <w:fldChar w:fldCharType="separate"/>
      </w:r>
      <w:r w:rsidR="00DE4546">
        <w:t>[1]</w:t>
      </w:r>
      <w:r w:rsidR="00DE4546">
        <w:fldChar w:fldCharType="end"/>
      </w:r>
      <w:r w:rsidR="009D1067">
        <w:t xml:space="preserve"> may be </w:t>
      </w:r>
      <w:r w:rsidR="00DE4546">
        <w:t>extended with serving RL status IE, as shown in the Appendix below. The exact content of this IE could be further discussed.</w:t>
      </w:r>
    </w:p>
    <w:p w14:paraId="52C676D6" w14:textId="7D70BDC8" w:rsidR="00DE4546" w:rsidRPr="00DE4546" w:rsidRDefault="00DE4546" w:rsidP="00EE38B7">
      <w:pPr>
        <w:rPr>
          <w:b/>
          <w:bCs/>
          <w:lang w:val="pl-PL"/>
        </w:rPr>
      </w:pPr>
      <w:r w:rsidRPr="00DE4546">
        <w:rPr>
          <w:b/>
          <w:bCs/>
        </w:rPr>
        <w:t xml:space="preserve">Proposal 2: RAN2 is asked to consider extending the </w:t>
      </w:r>
      <w:proofErr w:type="spellStart"/>
      <w:r w:rsidRPr="00DE4546">
        <w:rPr>
          <w:b/>
          <w:bCs/>
          <w:i/>
          <w:iCs/>
        </w:rPr>
        <w:t>EventTriggerConfig</w:t>
      </w:r>
      <w:proofErr w:type="spellEnd"/>
      <w:r w:rsidRPr="00DE4546">
        <w:rPr>
          <w:b/>
          <w:bCs/>
        </w:rPr>
        <w:t xml:space="preserve"> with the IE corresponding to serving cell’s radio link status, as defined in the Appendix.</w:t>
      </w:r>
    </w:p>
    <w:p w14:paraId="766D6D29" w14:textId="39932A6F" w:rsidR="00A209D6" w:rsidRPr="006E13D1" w:rsidRDefault="00A209D6" w:rsidP="00A209D6">
      <w:pPr>
        <w:pStyle w:val="Heading1"/>
      </w:pPr>
      <w:r w:rsidRPr="006E13D1">
        <w:t>3</w:t>
      </w:r>
      <w:r w:rsidRPr="006E13D1">
        <w:tab/>
      </w:r>
      <w:r w:rsidR="000C4237">
        <w:t>Conclusion</w:t>
      </w:r>
    </w:p>
    <w:p w14:paraId="653EED19" w14:textId="6F882F2A" w:rsidR="00A209D6" w:rsidRDefault="007D5DBE" w:rsidP="00A209D6">
      <w:r>
        <w:t xml:space="preserve">In this paper we have discussed </w:t>
      </w:r>
      <w:r w:rsidR="00B45152">
        <w:t xml:space="preserve">how the serving cell can obtain additional information on the quality of its link. The following observations and proposals have been made: </w:t>
      </w:r>
    </w:p>
    <w:p w14:paraId="39BFDDFE" w14:textId="7A05CC2A" w:rsidR="00DE4546" w:rsidRPr="0014253A" w:rsidRDefault="00DE4546" w:rsidP="00DE4546">
      <w:pPr>
        <w:jc w:val="both"/>
        <w:rPr>
          <w:b/>
          <w:bCs/>
        </w:rPr>
      </w:pPr>
      <w:r w:rsidRPr="0014253A">
        <w:rPr>
          <w:b/>
          <w:bCs/>
        </w:rPr>
        <w:t>Observation 1: Measurement Report alone does not provide the NW extensive knowledge on the serving cell link status, such as OOS</w:t>
      </w:r>
      <w:r w:rsidR="00CF4DD1">
        <w:rPr>
          <w:b/>
          <w:bCs/>
        </w:rPr>
        <w:t>s</w:t>
      </w:r>
      <w:r w:rsidRPr="0014253A">
        <w:rPr>
          <w:b/>
          <w:bCs/>
        </w:rPr>
        <w:t>, etc.</w:t>
      </w:r>
    </w:p>
    <w:p w14:paraId="69E64A8D" w14:textId="77777777" w:rsidR="00DE4546" w:rsidRPr="002E3683" w:rsidRDefault="00DE4546" w:rsidP="00DE4546">
      <w:pPr>
        <w:jc w:val="both"/>
        <w:rPr>
          <w:b/>
          <w:bCs/>
        </w:rPr>
      </w:pPr>
      <w:r w:rsidRPr="002E3683">
        <w:rPr>
          <w:b/>
          <w:bCs/>
        </w:rPr>
        <w:t>Observation 2:  When MR for preparing the CHO triggers, serving cell’s quality may be already too bad (e.g. T310 running) to allow CHO preparation.</w:t>
      </w:r>
    </w:p>
    <w:p w14:paraId="681A7B6C" w14:textId="77777777" w:rsidR="00DE4546" w:rsidRPr="001B145D" w:rsidRDefault="00DE4546" w:rsidP="00DE4546">
      <w:pPr>
        <w:rPr>
          <w:b/>
          <w:bCs/>
        </w:rPr>
      </w:pPr>
      <w:r w:rsidRPr="001B145D">
        <w:rPr>
          <w:b/>
          <w:bCs/>
        </w:rPr>
        <w:t xml:space="preserve">Proposal 1: To improve CHO performance by helping the NW in taking proper </w:t>
      </w:r>
      <w:r>
        <w:rPr>
          <w:b/>
          <w:bCs/>
        </w:rPr>
        <w:t xml:space="preserve">mobility </w:t>
      </w:r>
      <w:r w:rsidRPr="001B145D">
        <w:rPr>
          <w:b/>
          <w:bCs/>
        </w:rPr>
        <w:t xml:space="preserve">triggering decision, RAN2 is asked to consider extending the measurement report with serving radio link status information. </w:t>
      </w:r>
    </w:p>
    <w:p w14:paraId="35F222F4" w14:textId="1B74714A" w:rsidR="00080512" w:rsidRPr="00DE4546" w:rsidRDefault="00DE4546" w:rsidP="00A209D6">
      <w:pPr>
        <w:rPr>
          <w:b/>
          <w:bCs/>
          <w:lang w:val="pl-PL"/>
        </w:rPr>
      </w:pPr>
      <w:r w:rsidRPr="00DE4546">
        <w:rPr>
          <w:b/>
          <w:bCs/>
        </w:rPr>
        <w:t xml:space="preserve">Proposal 2: RAN2 is asked to consider extending the </w:t>
      </w:r>
      <w:proofErr w:type="spellStart"/>
      <w:r w:rsidRPr="00DE4546">
        <w:rPr>
          <w:b/>
          <w:bCs/>
          <w:i/>
          <w:iCs/>
        </w:rPr>
        <w:t>EventTriggerConfig</w:t>
      </w:r>
      <w:proofErr w:type="spellEnd"/>
      <w:r w:rsidRPr="00DE4546">
        <w:rPr>
          <w:b/>
          <w:bCs/>
        </w:rPr>
        <w:t xml:space="preserve"> with the IE corresponding to serving cell’s radio link status, as defined in the Appendix.</w:t>
      </w:r>
    </w:p>
    <w:p w14:paraId="31FDCACA" w14:textId="40856D32" w:rsidR="003C760C" w:rsidRDefault="003C760C">
      <w:pPr>
        <w:pStyle w:val="Heading1"/>
      </w:pPr>
      <w:r>
        <w:t>References</w:t>
      </w:r>
    </w:p>
    <w:p w14:paraId="2DA37473" w14:textId="22672CAB" w:rsidR="00DE4546" w:rsidRPr="003C760C" w:rsidRDefault="009D1067" w:rsidP="00DE4546">
      <w:pPr>
        <w:pStyle w:val="ListParagraph"/>
        <w:numPr>
          <w:ilvl w:val="0"/>
          <w:numId w:val="8"/>
        </w:numPr>
      </w:pPr>
      <w:bookmarkStart w:id="1" w:name="_Ref32327441"/>
      <w:r>
        <w:t xml:space="preserve">3GPP TS 38.331 </w:t>
      </w:r>
      <w:r w:rsidRPr="006D7D6C">
        <w:rPr>
          <w:i/>
          <w:iCs/>
        </w:rPr>
        <w:t>NR Radio Resource Control (RRC); Prot</w:t>
      </w:r>
      <w:bookmarkStart w:id="2" w:name="_GoBack"/>
      <w:bookmarkEnd w:id="2"/>
      <w:r w:rsidRPr="006D7D6C">
        <w:rPr>
          <w:i/>
          <w:iCs/>
        </w:rPr>
        <w:t>ocol specification</w:t>
      </w:r>
      <w:r>
        <w:t>, version 15.8.0, January 2020</w:t>
      </w:r>
      <w:bookmarkEnd w:id="1"/>
      <w:r>
        <w:t xml:space="preserve"> </w:t>
      </w:r>
    </w:p>
    <w:p w14:paraId="28F2371C" w14:textId="7C9D7635" w:rsidR="00DE4546" w:rsidRDefault="00DE4546">
      <w:pPr>
        <w:pStyle w:val="Heading1"/>
      </w:pPr>
      <w:r>
        <w:t>Appendix: Text Proposal to 38.331</w:t>
      </w:r>
    </w:p>
    <w:p w14:paraId="1622547F" w14:textId="77777777" w:rsidR="00DE4546" w:rsidRPr="00DE4546" w:rsidRDefault="00DE4546" w:rsidP="00DE4546">
      <w:pPr>
        <w:spacing w:after="0"/>
        <w:jc w:val="both"/>
        <w:rPr>
          <w:rFonts w:ascii="Arial" w:hAnsi="Arial"/>
          <w:sz w:val="22"/>
        </w:rPr>
      </w:pPr>
    </w:p>
    <w:p w14:paraId="3E1042AF"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EventTriggerConfig::=                       </w:t>
      </w:r>
      <w:r w:rsidRPr="00DE4546">
        <w:rPr>
          <w:rFonts w:ascii="Courier New" w:hAnsi="Courier New"/>
          <w:noProof/>
          <w:color w:val="993366"/>
          <w:sz w:val="16"/>
          <w:lang w:eastAsia="en-GB"/>
        </w:rPr>
        <w:t>SEQUENCE</w:t>
      </w:r>
      <w:r w:rsidRPr="00DE4546">
        <w:rPr>
          <w:rFonts w:ascii="Courier New" w:hAnsi="Courier New"/>
          <w:noProof/>
          <w:sz w:val="16"/>
          <w:lang w:eastAsia="en-GB"/>
        </w:rPr>
        <w:t xml:space="preserve"> {</w:t>
      </w:r>
    </w:p>
    <w:p w14:paraId="10DB1668"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eventId                                     </w:t>
      </w:r>
      <w:r w:rsidRPr="00DE4546">
        <w:rPr>
          <w:rFonts w:ascii="Courier New" w:hAnsi="Courier New"/>
          <w:noProof/>
          <w:color w:val="993366"/>
          <w:sz w:val="16"/>
          <w:lang w:eastAsia="en-GB"/>
        </w:rPr>
        <w:t>CHOICE</w:t>
      </w:r>
      <w:r w:rsidRPr="00DE4546">
        <w:rPr>
          <w:rFonts w:ascii="Courier New" w:hAnsi="Courier New"/>
          <w:noProof/>
          <w:sz w:val="16"/>
          <w:lang w:eastAsia="en-GB"/>
        </w:rPr>
        <w:t xml:space="preserve"> {</w:t>
      </w:r>
    </w:p>
    <w:p w14:paraId="3FF75DA9"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eventA1                                     </w:t>
      </w:r>
      <w:r w:rsidRPr="00DE4546">
        <w:rPr>
          <w:rFonts w:ascii="Courier New" w:hAnsi="Courier New"/>
          <w:noProof/>
          <w:color w:val="993366"/>
          <w:sz w:val="16"/>
          <w:lang w:eastAsia="en-GB"/>
        </w:rPr>
        <w:t>SEQUENCE</w:t>
      </w:r>
      <w:r w:rsidRPr="00DE4546">
        <w:rPr>
          <w:rFonts w:ascii="Courier New" w:hAnsi="Courier New"/>
          <w:noProof/>
          <w:sz w:val="16"/>
          <w:lang w:eastAsia="en-GB"/>
        </w:rPr>
        <w:t xml:space="preserve"> {</w:t>
      </w:r>
    </w:p>
    <w:p w14:paraId="0FD0F9FC"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a1-Threshold                                MeasTriggerQuantity,</w:t>
      </w:r>
    </w:p>
    <w:p w14:paraId="5F12E700"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reportOnLeave                               </w:t>
      </w:r>
      <w:r w:rsidRPr="00DE4546">
        <w:rPr>
          <w:rFonts w:ascii="Courier New" w:hAnsi="Courier New"/>
          <w:noProof/>
          <w:color w:val="993366"/>
          <w:sz w:val="16"/>
          <w:lang w:eastAsia="en-GB"/>
        </w:rPr>
        <w:t>BOOLEAN</w:t>
      </w:r>
      <w:r w:rsidRPr="00DE4546">
        <w:rPr>
          <w:rFonts w:ascii="Courier New" w:hAnsi="Courier New"/>
          <w:noProof/>
          <w:sz w:val="16"/>
          <w:lang w:eastAsia="en-GB"/>
        </w:rPr>
        <w:t>,</w:t>
      </w:r>
    </w:p>
    <w:p w14:paraId="7334DC83"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hysteresis                                  Hysteresis,</w:t>
      </w:r>
    </w:p>
    <w:p w14:paraId="4DFC94E9"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timeToTrigger                               TimeToTrigger</w:t>
      </w:r>
    </w:p>
    <w:p w14:paraId="6DE98A48"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w:t>
      </w:r>
    </w:p>
    <w:p w14:paraId="336ACB9E"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eventA2                                     </w:t>
      </w:r>
      <w:r w:rsidRPr="00DE4546">
        <w:rPr>
          <w:rFonts w:ascii="Courier New" w:hAnsi="Courier New"/>
          <w:noProof/>
          <w:color w:val="993366"/>
          <w:sz w:val="16"/>
          <w:lang w:eastAsia="en-GB"/>
        </w:rPr>
        <w:t>SEQUENCE</w:t>
      </w:r>
      <w:r w:rsidRPr="00DE4546">
        <w:rPr>
          <w:rFonts w:ascii="Courier New" w:hAnsi="Courier New"/>
          <w:noProof/>
          <w:sz w:val="16"/>
          <w:lang w:eastAsia="en-GB"/>
        </w:rPr>
        <w:t xml:space="preserve"> {</w:t>
      </w:r>
    </w:p>
    <w:p w14:paraId="23122FC3"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a2-Threshold                                MeasTriggerQuantity,</w:t>
      </w:r>
    </w:p>
    <w:p w14:paraId="0BBF0AA2"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reportOnLeave                               </w:t>
      </w:r>
      <w:r w:rsidRPr="00DE4546">
        <w:rPr>
          <w:rFonts w:ascii="Courier New" w:hAnsi="Courier New"/>
          <w:noProof/>
          <w:color w:val="993366"/>
          <w:sz w:val="16"/>
          <w:lang w:eastAsia="en-GB"/>
        </w:rPr>
        <w:t>BOOLEAN</w:t>
      </w:r>
      <w:r w:rsidRPr="00DE4546">
        <w:rPr>
          <w:rFonts w:ascii="Courier New" w:hAnsi="Courier New"/>
          <w:noProof/>
          <w:sz w:val="16"/>
          <w:lang w:eastAsia="en-GB"/>
        </w:rPr>
        <w:t>,</w:t>
      </w:r>
    </w:p>
    <w:p w14:paraId="3B07A492"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lastRenderedPageBreak/>
        <w:t xml:space="preserve">            hysteresis                                  Hysteresis,</w:t>
      </w:r>
    </w:p>
    <w:p w14:paraId="2F4145F7"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timeToTrigger                               TimeToTrigger</w:t>
      </w:r>
    </w:p>
    <w:p w14:paraId="7625CECC"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w:t>
      </w:r>
    </w:p>
    <w:p w14:paraId="237B5F8C"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eventA3                                     </w:t>
      </w:r>
      <w:r w:rsidRPr="00DE4546">
        <w:rPr>
          <w:rFonts w:ascii="Courier New" w:hAnsi="Courier New"/>
          <w:noProof/>
          <w:color w:val="993366"/>
          <w:sz w:val="16"/>
          <w:lang w:eastAsia="en-GB"/>
        </w:rPr>
        <w:t>SEQUENCE</w:t>
      </w:r>
      <w:r w:rsidRPr="00DE4546">
        <w:rPr>
          <w:rFonts w:ascii="Courier New" w:hAnsi="Courier New"/>
          <w:noProof/>
          <w:sz w:val="16"/>
          <w:lang w:eastAsia="en-GB"/>
        </w:rPr>
        <w:t xml:space="preserve"> {</w:t>
      </w:r>
    </w:p>
    <w:p w14:paraId="4F0D4604"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a3-Offset                                   MeasTriggerQuantityOffset,</w:t>
      </w:r>
    </w:p>
    <w:p w14:paraId="4B43DE38"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reportOnLeave                               </w:t>
      </w:r>
      <w:r w:rsidRPr="00DE4546">
        <w:rPr>
          <w:rFonts w:ascii="Courier New" w:hAnsi="Courier New"/>
          <w:noProof/>
          <w:color w:val="993366"/>
          <w:sz w:val="16"/>
          <w:lang w:eastAsia="en-GB"/>
        </w:rPr>
        <w:t>BOOLEAN</w:t>
      </w:r>
      <w:r w:rsidRPr="00DE4546">
        <w:rPr>
          <w:rFonts w:ascii="Courier New" w:hAnsi="Courier New"/>
          <w:noProof/>
          <w:sz w:val="16"/>
          <w:lang w:eastAsia="en-GB"/>
        </w:rPr>
        <w:t>,</w:t>
      </w:r>
    </w:p>
    <w:p w14:paraId="05B0F139"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hysteresis                                  Hysteresis,</w:t>
      </w:r>
    </w:p>
    <w:p w14:paraId="7022DA3E"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timeToTrigger                               TimeToTrigger,</w:t>
      </w:r>
    </w:p>
    <w:p w14:paraId="041B61C1"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useWhiteCellList                            </w:t>
      </w:r>
      <w:r w:rsidRPr="00DE4546">
        <w:rPr>
          <w:rFonts w:ascii="Courier New" w:hAnsi="Courier New"/>
          <w:noProof/>
          <w:color w:val="993366"/>
          <w:sz w:val="16"/>
          <w:lang w:eastAsia="en-GB"/>
        </w:rPr>
        <w:t>BOOLEAN</w:t>
      </w:r>
    </w:p>
    <w:p w14:paraId="2981EBE0"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w:t>
      </w:r>
    </w:p>
    <w:p w14:paraId="7842C424"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eventA4                                     </w:t>
      </w:r>
      <w:r w:rsidRPr="00DE4546">
        <w:rPr>
          <w:rFonts w:ascii="Courier New" w:hAnsi="Courier New"/>
          <w:noProof/>
          <w:color w:val="993366"/>
          <w:sz w:val="16"/>
          <w:lang w:eastAsia="en-GB"/>
        </w:rPr>
        <w:t>SEQUENCE</w:t>
      </w:r>
      <w:r w:rsidRPr="00DE4546">
        <w:rPr>
          <w:rFonts w:ascii="Courier New" w:hAnsi="Courier New"/>
          <w:noProof/>
          <w:sz w:val="16"/>
          <w:lang w:eastAsia="en-GB"/>
        </w:rPr>
        <w:t xml:space="preserve"> {</w:t>
      </w:r>
    </w:p>
    <w:p w14:paraId="346B9C21"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a4-Threshold                                MeasTriggerQuantity,</w:t>
      </w:r>
    </w:p>
    <w:p w14:paraId="1F516BFE"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reportOnLeave                               </w:t>
      </w:r>
      <w:r w:rsidRPr="00DE4546">
        <w:rPr>
          <w:rFonts w:ascii="Courier New" w:hAnsi="Courier New"/>
          <w:noProof/>
          <w:color w:val="993366"/>
          <w:sz w:val="16"/>
          <w:lang w:eastAsia="en-GB"/>
        </w:rPr>
        <w:t>BOOLEAN</w:t>
      </w:r>
      <w:r w:rsidRPr="00DE4546">
        <w:rPr>
          <w:rFonts w:ascii="Courier New" w:hAnsi="Courier New"/>
          <w:noProof/>
          <w:sz w:val="16"/>
          <w:lang w:eastAsia="en-GB"/>
        </w:rPr>
        <w:t>,</w:t>
      </w:r>
    </w:p>
    <w:p w14:paraId="11A8A620"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hysteresis                                  Hysteresis,</w:t>
      </w:r>
    </w:p>
    <w:p w14:paraId="0DF9CB9B"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timeToTrigger                               TimeToTrigger,</w:t>
      </w:r>
    </w:p>
    <w:p w14:paraId="4304B2B4"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useWhiteCellList                            </w:t>
      </w:r>
      <w:r w:rsidRPr="00DE4546">
        <w:rPr>
          <w:rFonts w:ascii="Courier New" w:hAnsi="Courier New"/>
          <w:noProof/>
          <w:color w:val="993366"/>
          <w:sz w:val="16"/>
          <w:lang w:eastAsia="en-GB"/>
        </w:rPr>
        <w:t>BOOLEAN</w:t>
      </w:r>
    </w:p>
    <w:p w14:paraId="2648827A"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w:t>
      </w:r>
    </w:p>
    <w:p w14:paraId="46C2490D"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eventA5                                     </w:t>
      </w:r>
      <w:r w:rsidRPr="00DE4546">
        <w:rPr>
          <w:rFonts w:ascii="Courier New" w:hAnsi="Courier New"/>
          <w:noProof/>
          <w:color w:val="993366"/>
          <w:sz w:val="16"/>
          <w:lang w:eastAsia="en-GB"/>
        </w:rPr>
        <w:t>SEQUENCE</w:t>
      </w:r>
      <w:r w:rsidRPr="00DE4546">
        <w:rPr>
          <w:rFonts w:ascii="Courier New" w:hAnsi="Courier New"/>
          <w:noProof/>
          <w:sz w:val="16"/>
          <w:lang w:eastAsia="en-GB"/>
        </w:rPr>
        <w:t xml:space="preserve"> {</w:t>
      </w:r>
    </w:p>
    <w:p w14:paraId="2679638C"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a5-Threshold1                               MeasTriggerQuantity,</w:t>
      </w:r>
    </w:p>
    <w:p w14:paraId="19ECB3F3"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a5-Threshold2                               MeasTriggerQuantity,</w:t>
      </w:r>
    </w:p>
    <w:p w14:paraId="28C02CB2"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reportOnLeave                               </w:t>
      </w:r>
      <w:r w:rsidRPr="00DE4546">
        <w:rPr>
          <w:rFonts w:ascii="Courier New" w:hAnsi="Courier New"/>
          <w:noProof/>
          <w:color w:val="993366"/>
          <w:sz w:val="16"/>
          <w:lang w:eastAsia="en-GB"/>
        </w:rPr>
        <w:t>BOOLEAN</w:t>
      </w:r>
      <w:r w:rsidRPr="00DE4546">
        <w:rPr>
          <w:rFonts w:ascii="Courier New" w:hAnsi="Courier New"/>
          <w:noProof/>
          <w:sz w:val="16"/>
          <w:lang w:eastAsia="en-GB"/>
        </w:rPr>
        <w:t>,</w:t>
      </w:r>
    </w:p>
    <w:p w14:paraId="6F7F8413"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hysteresis                                  Hysteresis,</w:t>
      </w:r>
    </w:p>
    <w:p w14:paraId="09FABDD3"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timeToTrigger                               TimeToTrigger,</w:t>
      </w:r>
    </w:p>
    <w:p w14:paraId="7350F0EF"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useWhiteCellList                            </w:t>
      </w:r>
      <w:r w:rsidRPr="00DE4546">
        <w:rPr>
          <w:rFonts w:ascii="Courier New" w:hAnsi="Courier New"/>
          <w:noProof/>
          <w:color w:val="993366"/>
          <w:sz w:val="16"/>
          <w:lang w:eastAsia="en-GB"/>
        </w:rPr>
        <w:t>BOOLEAN</w:t>
      </w:r>
    </w:p>
    <w:p w14:paraId="03380441"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w:t>
      </w:r>
    </w:p>
    <w:p w14:paraId="1707D5CE"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eventA6                                     </w:t>
      </w:r>
      <w:r w:rsidRPr="00DE4546">
        <w:rPr>
          <w:rFonts w:ascii="Courier New" w:hAnsi="Courier New"/>
          <w:noProof/>
          <w:color w:val="993366"/>
          <w:sz w:val="16"/>
          <w:lang w:eastAsia="en-GB"/>
        </w:rPr>
        <w:t>SEQUENCE</w:t>
      </w:r>
      <w:r w:rsidRPr="00DE4546">
        <w:rPr>
          <w:rFonts w:ascii="Courier New" w:hAnsi="Courier New"/>
          <w:noProof/>
          <w:sz w:val="16"/>
          <w:lang w:eastAsia="en-GB"/>
        </w:rPr>
        <w:t xml:space="preserve"> {</w:t>
      </w:r>
    </w:p>
    <w:p w14:paraId="22A20F6A"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a6-Offset                                   MeasTriggerQuantityOffset,</w:t>
      </w:r>
    </w:p>
    <w:p w14:paraId="3E361C3E"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reportOnLeave                               </w:t>
      </w:r>
      <w:r w:rsidRPr="00DE4546">
        <w:rPr>
          <w:rFonts w:ascii="Courier New" w:hAnsi="Courier New"/>
          <w:noProof/>
          <w:color w:val="993366"/>
          <w:sz w:val="16"/>
          <w:lang w:eastAsia="en-GB"/>
        </w:rPr>
        <w:t>BOOLEAN</w:t>
      </w:r>
      <w:r w:rsidRPr="00DE4546">
        <w:rPr>
          <w:rFonts w:ascii="Courier New" w:hAnsi="Courier New"/>
          <w:noProof/>
          <w:sz w:val="16"/>
          <w:lang w:eastAsia="en-GB"/>
        </w:rPr>
        <w:t>,</w:t>
      </w:r>
    </w:p>
    <w:p w14:paraId="3CE63BFC"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hysteresis                                  Hysteresis,</w:t>
      </w:r>
    </w:p>
    <w:p w14:paraId="6797F4A2"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timeToTrigger                               TimeToTrigger,</w:t>
      </w:r>
    </w:p>
    <w:p w14:paraId="4B90CCA2"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useWhiteCellList                            </w:t>
      </w:r>
      <w:r w:rsidRPr="00DE4546">
        <w:rPr>
          <w:rFonts w:ascii="Courier New" w:hAnsi="Courier New"/>
          <w:noProof/>
          <w:color w:val="993366"/>
          <w:sz w:val="16"/>
          <w:lang w:eastAsia="en-GB"/>
        </w:rPr>
        <w:t>BOOLEAN</w:t>
      </w:r>
    </w:p>
    <w:p w14:paraId="0D073E44"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w:t>
      </w:r>
    </w:p>
    <w:p w14:paraId="69EC8141"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w:t>
      </w:r>
    </w:p>
    <w:p w14:paraId="3127908D"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w:t>
      </w:r>
    </w:p>
    <w:p w14:paraId="55E14750"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79BCF3"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rsType                                      NR-RS-Type,</w:t>
      </w:r>
    </w:p>
    <w:p w14:paraId="5F529DE7"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8088C5"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reportInterval                              ReportInterval,</w:t>
      </w:r>
    </w:p>
    <w:p w14:paraId="010BF651"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reportAmount                                </w:t>
      </w:r>
      <w:r w:rsidRPr="00DE4546">
        <w:rPr>
          <w:rFonts w:ascii="Courier New" w:hAnsi="Courier New"/>
          <w:noProof/>
          <w:color w:val="993366"/>
          <w:sz w:val="16"/>
          <w:lang w:eastAsia="en-GB"/>
        </w:rPr>
        <w:t>ENUMERATED</w:t>
      </w:r>
      <w:r w:rsidRPr="00DE4546">
        <w:rPr>
          <w:rFonts w:ascii="Courier New" w:hAnsi="Courier New"/>
          <w:noProof/>
          <w:sz w:val="16"/>
          <w:lang w:eastAsia="en-GB"/>
        </w:rPr>
        <w:t xml:space="preserve"> {r1, r2, r4, r8, r16, r32, r64, infinity},</w:t>
      </w:r>
    </w:p>
    <w:p w14:paraId="42F52192"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15B4F5"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reportQuantityCell                          MeasReportQuantity,</w:t>
      </w:r>
    </w:p>
    <w:p w14:paraId="48CBF4EB"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maxReportCells                              </w:t>
      </w:r>
      <w:r w:rsidRPr="00DE4546">
        <w:rPr>
          <w:rFonts w:ascii="Courier New" w:hAnsi="Courier New"/>
          <w:noProof/>
          <w:color w:val="993366"/>
          <w:sz w:val="16"/>
          <w:lang w:eastAsia="en-GB"/>
        </w:rPr>
        <w:t>INTEGER</w:t>
      </w:r>
      <w:r w:rsidRPr="00DE4546">
        <w:rPr>
          <w:rFonts w:ascii="Courier New" w:hAnsi="Courier New"/>
          <w:noProof/>
          <w:sz w:val="16"/>
          <w:lang w:eastAsia="en-GB"/>
        </w:rPr>
        <w:t xml:space="preserve"> (1..maxCellReport),</w:t>
      </w:r>
    </w:p>
    <w:p w14:paraId="537FB403"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29AC5B"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E4546">
        <w:rPr>
          <w:rFonts w:ascii="Courier New" w:hAnsi="Courier New"/>
          <w:noProof/>
          <w:sz w:val="16"/>
          <w:lang w:eastAsia="en-GB"/>
        </w:rPr>
        <w:t xml:space="preserve">    reportQuantityRS-Indexes                     MeasReportQuantity                                            </w:t>
      </w:r>
      <w:r w:rsidRPr="00DE4546">
        <w:rPr>
          <w:rFonts w:ascii="Courier New" w:hAnsi="Courier New"/>
          <w:noProof/>
          <w:color w:val="993366"/>
          <w:sz w:val="16"/>
          <w:lang w:eastAsia="en-GB"/>
        </w:rPr>
        <w:t>OPTIONAL</w:t>
      </w:r>
      <w:r w:rsidRPr="00DE4546">
        <w:rPr>
          <w:rFonts w:ascii="Courier New" w:hAnsi="Courier New"/>
          <w:noProof/>
          <w:sz w:val="16"/>
          <w:lang w:eastAsia="en-GB"/>
        </w:rPr>
        <w:t xml:space="preserve">,   </w:t>
      </w:r>
      <w:r w:rsidRPr="00DE4546">
        <w:rPr>
          <w:rFonts w:ascii="Courier New" w:hAnsi="Courier New"/>
          <w:noProof/>
          <w:color w:val="808080"/>
          <w:sz w:val="16"/>
          <w:lang w:eastAsia="en-GB"/>
        </w:rPr>
        <w:t>-- Need R</w:t>
      </w:r>
    </w:p>
    <w:p w14:paraId="0AC61406"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E4546">
        <w:rPr>
          <w:rFonts w:ascii="Courier New" w:hAnsi="Courier New"/>
          <w:noProof/>
          <w:sz w:val="16"/>
          <w:lang w:eastAsia="en-GB"/>
        </w:rPr>
        <w:t xml:space="preserve">    maxNrofRS-IndexesToReport                   </w:t>
      </w:r>
      <w:r w:rsidRPr="00DE4546">
        <w:rPr>
          <w:rFonts w:ascii="Courier New" w:hAnsi="Courier New"/>
          <w:noProof/>
          <w:color w:val="993366"/>
          <w:sz w:val="16"/>
          <w:lang w:eastAsia="en-GB"/>
        </w:rPr>
        <w:t>INTEGER</w:t>
      </w:r>
      <w:r w:rsidRPr="00DE4546">
        <w:rPr>
          <w:rFonts w:ascii="Courier New" w:hAnsi="Courier New"/>
          <w:noProof/>
          <w:sz w:val="16"/>
          <w:lang w:eastAsia="en-GB"/>
        </w:rPr>
        <w:t xml:space="preserve"> (1..maxNrofIndexesToReport)                            </w:t>
      </w:r>
      <w:r w:rsidRPr="00DE4546">
        <w:rPr>
          <w:rFonts w:ascii="Courier New" w:hAnsi="Courier New"/>
          <w:noProof/>
          <w:color w:val="993366"/>
          <w:sz w:val="16"/>
          <w:lang w:eastAsia="en-GB"/>
        </w:rPr>
        <w:t>OPTIONAL</w:t>
      </w:r>
      <w:r w:rsidRPr="00DE4546">
        <w:rPr>
          <w:rFonts w:ascii="Courier New" w:hAnsi="Courier New"/>
          <w:noProof/>
          <w:sz w:val="16"/>
          <w:lang w:eastAsia="en-GB"/>
        </w:rPr>
        <w:t xml:space="preserve">,   </w:t>
      </w:r>
      <w:r w:rsidRPr="00DE4546">
        <w:rPr>
          <w:rFonts w:ascii="Courier New" w:hAnsi="Courier New"/>
          <w:noProof/>
          <w:color w:val="808080"/>
          <w:sz w:val="16"/>
          <w:lang w:eastAsia="en-GB"/>
        </w:rPr>
        <w:t>-- Need R</w:t>
      </w:r>
    </w:p>
    <w:p w14:paraId="6BFAF269"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includeBeamMeasurements                     </w:t>
      </w:r>
      <w:r w:rsidRPr="00DE4546">
        <w:rPr>
          <w:rFonts w:ascii="Courier New" w:hAnsi="Courier New"/>
          <w:noProof/>
          <w:color w:val="993366"/>
          <w:sz w:val="16"/>
          <w:lang w:eastAsia="en-GB"/>
        </w:rPr>
        <w:t>BOOLEAN</w:t>
      </w:r>
      <w:r w:rsidRPr="00DE4546">
        <w:rPr>
          <w:rFonts w:ascii="Courier New" w:hAnsi="Courier New"/>
          <w:noProof/>
          <w:sz w:val="16"/>
          <w:lang w:eastAsia="en-GB"/>
        </w:rPr>
        <w:t>,</w:t>
      </w:r>
    </w:p>
    <w:p w14:paraId="153283E2"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E4546">
        <w:rPr>
          <w:rFonts w:ascii="Courier New" w:hAnsi="Courier New"/>
          <w:noProof/>
          <w:sz w:val="16"/>
          <w:lang w:eastAsia="en-GB"/>
        </w:rPr>
        <w:t xml:space="preserve">    reportAddNeighMeas                          </w:t>
      </w:r>
      <w:r w:rsidRPr="00DE4546">
        <w:rPr>
          <w:rFonts w:ascii="Courier New" w:hAnsi="Courier New"/>
          <w:noProof/>
          <w:color w:val="993366"/>
          <w:sz w:val="16"/>
          <w:lang w:eastAsia="en-GB"/>
        </w:rPr>
        <w:t>ENUMERATED</w:t>
      </w:r>
      <w:r w:rsidRPr="00DE4546">
        <w:rPr>
          <w:rFonts w:ascii="Courier New" w:hAnsi="Courier New"/>
          <w:noProof/>
          <w:sz w:val="16"/>
          <w:lang w:eastAsia="en-GB"/>
        </w:rPr>
        <w:t xml:space="preserve"> {setup}                                             </w:t>
      </w:r>
      <w:r w:rsidRPr="00DE4546">
        <w:rPr>
          <w:rFonts w:ascii="Courier New" w:hAnsi="Courier New"/>
          <w:noProof/>
          <w:color w:val="993366"/>
          <w:sz w:val="16"/>
          <w:lang w:eastAsia="en-GB"/>
        </w:rPr>
        <w:t>OPTIONAL</w:t>
      </w:r>
      <w:r w:rsidRPr="00DE4546">
        <w:rPr>
          <w:rFonts w:ascii="Courier New" w:hAnsi="Courier New"/>
          <w:noProof/>
          <w:sz w:val="16"/>
          <w:lang w:eastAsia="en-GB"/>
        </w:rPr>
        <w:t xml:space="preserve">,   </w:t>
      </w:r>
      <w:r w:rsidRPr="00DE4546">
        <w:rPr>
          <w:rFonts w:ascii="Courier New" w:hAnsi="Courier New"/>
          <w:noProof/>
          <w:color w:val="808080"/>
          <w:sz w:val="16"/>
          <w:lang w:eastAsia="en-GB"/>
        </w:rPr>
        <w:t>-- Need R</w:t>
      </w:r>
    </w:p>
    <w:p w14:paraId="4DFA3191"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DE4546">
        <w:rPr>
          <w:rFonts w:ascii="Courier New" w:hAnsi="Courier New"/>
          <w:noProof/>
          <w:sz w:val="16"/>
          <w:lang w:eastAsia="en-GB"/>
        </w:rPr>
        <w:t xml:space="preserve">    ...</w:t>
      </w:r>
      <w:r w:rsidRPr="00DE4546">
        <w:rPr>
          <w:rFonts w:ascii="Courier New" w:hAnsi="Courier New"/>
          <w:noProof/>
          <w:color w:val="FF0000"/>
          <w:sz w:val="16"/>
          <w:lang w:eastAsia="en-GB"/>
        </w:rPr>
        <w:t>,</w:t>
      </w:r>
    </w:p>
    <w:p w14:paraId="124C77EC"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DE4546">
        <w:rPr>
          <w:rFonts w:ascii="Courier New" w:hAnsi="Courier New"/>
          <w:noProof/>
          <w:sz w:val="16"/>
          <w:lang w:eastAsia="en-GB"/>
        </w:rPr>
        <w:tab/>
      </w:r>
      <w:r w:rsidRPr="00DE4546">
        <w:rPr>
          <w:rFonts w:ascii="Courier New" w:hAnsi="Courier New"/>
          <w:noProof/>
          <w:color w:val="FF0000"/>
          <w:sz w:val="16"/>
          <w:lang w:eastAsia="en-GB"/>
        </w:rPr>
        <w:t>[[</w:t>
      </w:r>
    </w:p>
    <w:p w14:paraId="1AA14FF6"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DE4546">
        <w:rPr>
          <w:rFonts w:ascii="Courier New" w:hAnsi="Courier New"/>
          <w:noProof/>
          <w:color w:val="FF0000"/>
          <w:sz w:val="16"/>
          <w:lang w:eastAsia="en-GB"/>
        </w:rPr>
        <w:tab/>
        <w:t>servingRL-status</w:t>
      </w:r>
      <w:r w:rsidRPr="00DE4546">
        <w:rPr>
          <w:rFonts w:ascii="Courier New" w:hAnsi="Courier New"/>
          <w:noProof/>
          <w:color w:val="FF0000"/>
          <w:sz w:val="16"/>
          <w:lang w:eastAsia="en-GB"/>
        </w:rPr>
        <w:tab/>
      </w:r>
      <w:r w:rsidRPr="00DE4546">
        <w:rPr>
          <w:rFonts w:ascii="Courier New" w:hAnsi="Courier New"/>
          <w:noProof/>
          <w:color w:val="FF0000"/>
          <w:sz w:val="16"/>
          <w:lang w:eastAsia="en-GB"/>
        </w:rPr>
        <w:tab/>
      </w:r>
      <w:r w:rsidRPr="00DE4546">
        <w:rPr>
          <w:rFonts w:ascii="Courier New" w:hAnsi="Courier New"/>
          <w:noProof/>
          <w:color w:val="FF0000"/>
          <w:sz w:val="16"/>
          <w:lang w:eastAsia="en-GB"/>
        </w:rPr>
        <w:tab/>
      </w:r>
      <w:r w:rsidRPr="00DE4546">
        <w:rPr>
          <w:rFonts w:ascii="Courier New" w:hAnsi="Courier New"/>
          <w:noProof/>
          <w:color w:val="FF0000"/>
          <w:sz w:val="16"/>
          <w:lang w:eastAsia="en-GB"/>
        </w:rPr>
        <w:tab/>
      </w:r>
      <w:r w:rsidRPr="00DE4546">
        <w:rPr>
          <w:rFonts w:ascii="Courier New" w:hAnsi="Courier New"/>
          <w:noProof/>
          <w:color w:val="FF0000"/>
          <w:sz w:val="16"/>
          <w:lang w:eastAsia="en-GB"/>
        </w:rPr>
        <w:tab/>
      </w:r>
      <w:r w:rsidRPr="00DE4546">
        <w:rPr>
          <w:rFonts w:ascii="Courier New" w:hAnsi="Courier New"/>
          <w:noProof/>
          <w:color w:val="FF0000"/>
          <w:sz w:val="16"/>
          <w:lang w:eastAsia="en-GB"/>
        </w:rPr>
        <w:tab/>
      </w:r>
      <w:r w:rsidRPr="00DE4546">
        <w:rPr>
          <w:rFonts w:ascii="Courier New" w:hAnsi="Courier New"/>
          <w:noProof/>
          <w:color w:val="FF0000"/>
          <w:sz w:val="16"/>
          <w:lang w:eastAsia="en-GB"/>
        </w:rPr>
        <w:tab/>
        <w:t>ServingRL-Status</w:t>
      </w:r>
      <w:r w:rsidRPr="00DE4546">
        <w:rPr>
          <w:rFonts w:ascii="Courier New" w:hAnsi="Courier New"/>
          <w:noProof/>
          <w:color w:val="FF0000"/>
          <w:sz w:val="16"/>
          <w:lang w:eastAsia="en-GB"/>
        </w:rPr>
        <w:tab/>
      </w:r>
      <w:r w:rsidRPr="00DE4546">
        <w:rPr>
          <w:rFonts w:ascii="Courier New" w:hAnsi="Courier New"/>
          <w:noProof/>
          <w:color w:val="FF0000"/>
          <w:sz w:val="16"/>
          <w:lang w:eastAsia="en-GB"/>
        </w:rPr>
        <w:tab/>
      </w:r>
      <w:r w:rsidRPr="00DE4546">
        <w:rPr>
          <w:rFonts w:ascii="Courier New" w:hAnsi="Courier New"/>
          <w:noProof/>
          <w:color w:val="FF0000"/>
          <w:sz w:val="16"/>
          <w:lang w:eastAsia="en-GB"/>
        </w:rPr>
        <w:tab/>
      </w:r>
      <w:r w:rsidRPr="00DE4546">
        <w:rPr>
          <w:rFonts w:ascii="Courier New" w:hAnsi="Courier New"/>
          <w:noProof/>
          <w:color w:val="FF0000"/>
          <w:sz w:val="16"/>
          <w:lang w:eastAsia="en-GB"/>
        </w:rPr>
        <w:tab/>
      </w:r>
      <w:r w:rsidRPr="00DE4546">
        <w:rPr>
          <w:rFonts w:ascii="Courier New" w:hAnsi="Courier New"/>
          <w:noProof/>
          <w:color w:val="FF0000"/>
          <w:sz w:val="16"/>
          <w:lang w:eastAsia="en-GB"/>
        </w:rPr>
        <w:tab/>
      </w:r>
      <w:r w:rsidRPr="00DE4546">
        <w:rPr>
          <w:rFonts w:ascii="Courier New" w:hAnsi="Courier New"/>
          <w:noProof/>
          <w:color w:val="FF0000"/>
          <w:sz w:val="16"/>
          <w:lang w:eastAsia="en-GB"/>
        </w:rPr>
        <w:tab/>
      </w:r>
      <w:r w:rsidRPr="00DE4546">
        <w:rPr>
          <w:rFonts w:ascii="Courier New" w:hAnsi="Courier New"/>
          <w:noProof/>
          <w:color w:val="FF0000"/>
          <w:sz w:val="16"/>
          <w:lang w:eastAsia="en-GB"/>
        </w:rPr>
        <w:tab/>
      </w:r>
      <w:r w:rsidRPr="00DE4546">
        <w:rPr>
          <w:rFonts w:ascii="Courier New" w:hAnsi="Courier New"/>
          <w:noProof/>
          <w:color w:val="FF0000"/>
          <w:sz w:val="16"/>
          <w:lang w:eastAsia="en-GB"/>
        </w:rPr>
        <w:tab/>
      </w:r>
      <w:r w:rsidRPr="00DE4546">
        <w:rPr>
          <w:rFonts w:ascii="Courier New" w:hAnsi="Courier New"/>
          <w:noProof/>
          <w:color w:val="FF0000"/>
          <w:sz w:val="16"/>
          <w:lang w:eastAsia="en-GB"/>
        </w:rPr>
        <w:tab/>
      </w:r>
      <w:r w:rsidRPr="00DE4546">
        <w:rPr>
          <w:rFonts w:ascii="Courier New" w:hAnsi="Courier New"/>
          <w:noProof/>
          <w:color w:val="FF0000"/>
          <w:sz w:val="16"/>
          <w:lang w:eastAsia="en-GB"/>
        </w:rPr>
        <w:tab/>
      </w:r>
      <w:r w:rsidRPr="00DE4546">
        <w:rPr>
          <w:rFonts w:ascii="Courier New" w:hAnsi="Courier New"/>
          <w:noProof/>
          <w:color w:val="FF0000"/>
          <w:sz w:val="16"/>
          <w:lang w:eastAsia="en-GB"/>
        </w:rPr>
        <w:tab/>
      </w:r>
      <w:r w:rsidRPr="00DE4546">
        <w:rPr>
          <w:rFonts w:ascii="Courier New" w:hAnsi="Courier New"/>
          <w:noProof/>
          <w:color w:val="FF0000"/>
          <w:sz w:val="16"/>
          <w:lang w:eastAsia="en-GB"/>
        </w:rPr>
        <w:tab/>
      </w:r>
      <w:r w:rsidRPr="00DE4546">
        <w:rPr>
          <w:rFonts w:ascii="Courier New" w:hAnsi="Courier New"/>
          <w:noProof/>
          <w:color w:val="FF0000"/>
          <w:sz w:val="16"/>
          <w:lang w:eastAsia="en-GB"/>
        </w:rPr>
        <w:tab/>
      </w:r>
      <w:r w:rsidRPr="00DE4546">
        <w:rPr>
          <w:rFonts w:ascii="Courier New" w:hAnsi="Courier New"/>
          <w:noProof/>
          <w:color w:val="FF0000"/>
          <w:sz w:val="16"/>
          <w:lang w:eastAsia="en-GB"/>
        </w:rPr>
        <w:tab/>
      </w:r>
      <w:r w:rsidRPr="00DE4546">
        <w:rPr>
          <w:rFonts w:ascii="Courier New" w:hAnsi="Courier New"/>
          <w:noProof/>
          <w:color w:val="FF0000"/>
          <w:sz w:val="16"/>
          <w:lang w:eastAsia="en-GB"/>
        </w:rPr>
        <w:tab/>
        <w:t xml:space="preserve">  </w:t>
      </w:r>
      <w:r w:rsidRPr="00DE4546">
        <w:rPr>
          <w:rFonts w:ascii="Courier New" w:hAnsi="Courier New"/>
          <w:noProof/>
          <w:color w:val="FF0000"/>
          <w:sz w:val="16"/>
          <w:lang w:eastAsia="en-GB"/>
        </w:rPr>
        <w:tab/>
        <w:t xml:space="preserve">OPTIONAL </w:t>
      </w:r>
      <w:r w:rsidRPr="00DE4546">
        <w:rPr>
          <w:rFonts w:ascii="Courier New" w:hAnsi="Courier New"/>
          <w:noProof/>
          <w:color w:val="FF0000"/>
          <w:sz w:val="16"/>
          <w:lang w:eastAsia="en-GB"/>
        </w:rPr>
        <w:tab/>
      </w:r>
      <w:r w:rsidRPr="00DE4546">
        <w:rPr>
          <w:rFonts w:ascii="Courier New" w:hAnsi="Courier New"/>
          <w:noProof/>
          <w:color w:val="FF0000"/>
          <w:sz w:val="16"/>
          <w:lang w:eastAsia="en-GB"/>
        </w:rPr>
        <w:tab/>
        <w:t>--Need M</w:t>
      </w:r>
    </w:p>
    <w:p w14:paraId="39853ED3"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DE4546">
        <w:rPr>
          <w:rFonts w:ascii="Courier New" w:hAnsi="Courier New"/>
          <w:noProof/>
          <w:color w:val="FF0000"/>
          <w:sz w:val="16"/>
          <w:lang w:eastAsia="en-GB"/>
        </w:rPr>
        <w:tab/>
        <w:t>]]</w:t>
      </w:r>
    </w:p>
    <w:p w14:paraId="47C7EFCE"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DE4546">
        <w:rPr>
          <w:rFonts w:ascii="Courier New" w:hAnsi="Courier New"/>
          <w:noProof/>
          <w:color w:val="FF0000"/>
          <w:sz w:val="16"/>
          <w:lang w:eastAsia="en-GB"/>
        </w:rPr>
        <w:t>}</w:t>
      </w:r>
    </w:p>
    <w:p w14:paraId="5C4792CB" w14:textId="77777777" w:rsidR="00DE4546" w:rsidRPr="00DE4546" w:rsidRDefault="00DE4546" w:rsidP="00DE45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p>
    <w:p w14:paraId="16F4E23F" w14:textId="77777777" w:rsidR="00DE4546" w:rsidRPr="00DE4546" w:rsidRDefault="00DE4546" w:rsidP="00DE4546"/>
    <w:sectPr w:rsidR="00DE4546" w:rsidRPr="00DE454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C1737" w14:textId="77777777" w:rsidR="003A7043" w:rsidRDefault="003A7043">
      <w:r>
        <w:separator/>
      </w:r>
    </w:p>
  </w:endnote>
  <w:endnote w:type="continuationSeparator" w:id="0">
    <w:p w14:paraId="420DFD7A" w14:textId="77777777" w:rsidR="003A7043" w:rsidRDefault="003A7043">
      <w:r>
        <w:continuationSeparator/>
      </w:r>
    </w:p>
  </w:endnote>
  <w:endnote w:type="continuationNotice" w:id="1">
    <w:p w14:paraId="0527F89E" w14:textId="77777777" w:rsidR="003A7043" w:rsidRDefault="003A70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3BF77" w14:textId="77777777" w:rsidR="003A7043" w:rsidRDefault="003A7043">
      <w:r>
        <w:separator/>
      </w:r>
    </w:p>
  </w:footnote>
  <w:footnote w:type="continuationSeparator" w:id="0">
    <w:p w14:paraId="4BA107E4" w14:textId="77777777" w:rsidR="003A7043" w:rsidRDefault="003A7043">
      <w:r>
        <w:continuationSeparator/>
      </w:r>
    </w:p>
  </w:footnote>
  <w:footnote w:type="continuationNotice" w:id="1">
    <w:p w14:paraId="71D6EB84" w14:textId="77777777" w:rsidR="003A7043" w:rsidRDefault="003A70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BFC7D9E"/>
    <w:multiLevelType w:val="hybridMultilevel"/>
    <w:tmpl w:val="A8241C7A"/>
    <w:lvl w:ilvl="0" w:tplc="8DC67D4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42E58DC"/>
    <w:multiLevelType w:val="hybridMultilevel"/>
    <w:tmpl w:val="604CBFBA"/>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644D1C2E"/>
    <w:multiLevelType w:val="hybridMultilevel"/>
    <w:tmpl w:val="7E503530"/>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6"/>
  </w:num>
  <w:num w:numId="7">
    <w:abstractNumId w:val="7"/>
  </w:num>
  <w:num w:numId="8">
    <w:abstractNumId w:val="5"/>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55C"/>
    <w:rsid w:val="00023C40"/>
    <w:rsid w:val="00033397"/>
    <w:rsid w:val="00036E95"/>
    <w:rsid w:val="00040095"/>
    <w:rsid w:val="00073C9C"/>
    <w:rsid w:val="00080512"/>
    <w:rsid w:val="00090468"/>
    <w:rsid w:val="00094568"/>
    <w:rsid w:val="000B74EA"/>
    <w:rsid w:val="000B7BCF"/>
    <w:rsid w:val="000C4237"/>
    <w:rsid w:val="000C522B"/>
    <w:rsid w:val="000D58AB"/>
    <w:rsid w:val="000F4D63"/>
    <w:rsid w:val="00112F1A"/>
    <w:rsid w:val="001254A7"/>
    <w:rsid w:val="0014253A"/>
    <w:rsid w:val="00145075"/>
    <w:rsid w:val="001741A0"/>
    <w:rsid w:val="00175FA0"/>
    <w:rsid w:val="00194CD0"/>
    <w:rsid w:val="001B145D"/>
    <w:rsid w:val="001B49C9"/>
    <w:rsid w:val="001C23F4"/>
    <w:rsid w:val="001C4F79"/>
    <w:rsid w:val="001D154C"/>
    <w:rsid w:val="001E4D38"/>
    <w:rsid w:val="001F168B"/>
    <w:rsid w:val="001F7831"/>
    <w:rsid w:val="00204045"/>
    <w:rsid w:val="0020712B"/>
    <w:rsid w:val="0022606D"/>
    <w:rsid w:val="00231728"/>
    <w:rsid w:val="00250404"/>
    <w:rsid w:val="002610D8"/>
    <w:rsid w:val="002747EC"/>
    <w:rsid w:val="002855BF"/>
    <w:rsid w:val="002D4AED"/>
    <w:rsid w:val="002E3683"/>
    <w:rsid w:val="002F0D22"/>
    <w:rsid w:val="00311B17"/>
    <w:rsid w:val="003172DC"/>
    <w:rsid w:val="00325AE3"/>
    <w:rsid w:val="00326069"/>
    <w:rsid w:val="0035462D"/>
    <w:rsid w:val="00364B41"/>
    <w:rsid w:val="00383096"/>
    <w:rsid w:val="00394473"/>
    <w:rsid w:val="003A41EF"/>
    <w:rsid w:val="003A7043"/>
    <w:rsid w:val="003B40AD"/>
    <w:rsid w:val="003C4E37"/>
    <w:rsid w:val="003C760C"/>
    <w:rsid w:val="003E16BE"/>
    <w:rsid w:val="003F4E28"/>
    <w:rsid w:val="004006E8"/>
    <w:rsid w:val="00401855"/>
    <w:rsid w:val="00465587"/>
    <w:rsid w:val="00477455"/>
    <w:rsid w:val="00481D02"/>
    <w:rsid w:val="004A1F7B"/>
    <w:rsid w:val="004B59CE"/>
    <w:rsid w:val="004C44D2"/>
    <w:rsid w:val="004D3578"/>
    <w:rsid w:val="004D380D"/>
    <w:rsid w:val="004E213A"/>
    <w:rsid w:val="00503171"/>
    <w:rsid w:val="00506C28"/>
    <w:rsid w:val="00534DA0"/>
    <w:rsid w:val="00536C5C"/>
    <w:rsid w:val="00543E6C"/>
    <w:rsid w:val="00565087"/>
    <w:rsid w:val="0056573F"/>
    <w:rsid w:val="0058729B"/>
    <w:rsid w:val="00593891"/>
    <w:rsid w:val="005D1170"/>
    <w:rsid w:val="005E7CF1"/>
    <w:rsid w:val="00611566"/>
    <w:rsid w:val="00614D2B"/>
    <w:rsid w:val="006448D7"/>
    <w:rsid w:val="00646D99"/>
    <w:rsid w:val="00656910"/>
    <w:rsid w:val="006574C0"/>
    <w:rsid w:val="006C66D8"/>
    <w:rsid w:val="006D1E24"/>
    <w:rsid w:val="006D7D6C"/>
    <w:rsid w:val="006E1417"/>
    <w:rsid w:val="006F6A2C"/>
    <w:rsid w:val="007069DC"/>
    <w:rsid w:val="00710201"/>
    <w:rsid w:val="0072073A"/>
    <w:rsid w:val="007342B5"/>
    <w:rsid w:val="00734A5B"/>
    <w:rsid w:val="00744E76"/>
    <w:rsid w:val="00753565"/>
    <w:rsid w:val="00757D40"/>
    <w:rsid w:val="00761DD6"/>
    <w:rsid w:val="00762E3E"/>
    <w:rsid w:val="007662B5"/>
    <w:rsid w:val="00781F0F"/>
    <w:rsid w:val="0078727C"/>
    <w:rsid w:val="0079049D"/>
    <w:rsid w:val="00793DC5"/>
    <w:rsid w:val="007B18D8"/>
    <w:rsid w:val="007C095F"/>
    <w:rsid w:val="007C2DD0"/>
    <w:rsid w:val="007D5DBE"/>
    <w:rsid w:val="007F2E08"/>
    <w:rsid w:val="008028A4"/>
    <w:rsid w:val="00813245"/>
    <w:rsid w:val="00836006"/>
    <w:rsid w:val="00840DE0"/>
    <w:rsid w:val="008515C1"/>
    <w:rsid w:val="0086354A"/>
    <w:rsid w:val="008768CA"/>
    <w:rsid w:val="00877EF9"/>
    <w:rsid w:val="00880559"/>
    <w:rsid w:val="008A2C52"/>
    <w:rsid w:val="008B5306"/>
    <w:rsid w:val="008C2E2A"/>
    <w:rsid w:val="008C3057"/>
    <w:rsid w:val="008D2E4D"/>
    <w:rsid w:val="008D6248"/>
    <w:rsid w:val="008F396F"/>
    <w:rsid w:val="008F3DCD"/>
    <w:rsid w:val="0090271F"/>
    <w:rsid w:val="00902DB9"/>
    <w:rsid w:val="0090466A"/>
    <w:rsid w:val="00923655"/>
    <w:rsid w:val="00936071"/>
    <w:rsid w:val="009376CD"/>
    <w:rsid w:val="00940212"/>
    <w:rsid w:val="00942EC2"/>
    <w:rsid w:val="00944B12"/>
    <w:rsid w:val="00961B32"/>
    <w:rsid w:val="00962509"/>
    <w:rsid w:val="00970DB3"/>
    <w:rsid w:val="00974BB0"/>
    <w:rsid w:val="00975BCD"/>
    <w:rsid w:val="009A0AF3"/>
    <w:rsid w:val="009B07CD"/>
    <w:rsid w:val="009B0C4D"/>
    <w:rsid w:val="009C19E9"/>
    <w:rsid w:val="009D1067"/>
    <w:rsid w:val="009D74A6"/>
    <w:rsid w:val="00A10F02"/>
    <w:rsid w:val="00A204CA"/>
    <w:rsid w:val="00A209D6"/>
    <w:rsid w:val="00A53724"/>
    <w:rsid w:val="00A54B2B"/>
    <w:rsid w:val="00A82346"/>
    <w:rsid w:val="00A9671C"/>
    <w:rsid w:val="00AA1553"/>
    <w:rsid w:val="00AB77F9"/>
    <w:rsid w:val="00B05380"/>
    <w:rsid w:val="00B05962"/>
    <w:rsid w:val="00B15449"/>
    <w:rsid w:val="00B16C2F"/>
    <w:rsid w:val="00B27303"/>
    <w:rsid w:val="00B45152"/>
    <w:rsid w:val="00B47FD1"/>
    <w:rsid w:val="00B516BB"/>
    <w:rsid w:val="00B84DB2"/>
    <w:rsid w:val="00BC3555"/>
    <w:rsid w:val="00C12B51"/>
    <w:rsid w:val="00C23997"/>
    <w:rsid w:val="00C24650"/>
    <w:rsid w:val="00C25465"/>
    <w:rsid w:val="00C33079"/>
    <w:rsid w:val="00C83A13"/>
    <w:rsid w:val="00C9068C"/>
    <w:rsid w:val="00C92967"/>
    <w:rsid w:val="00CA126A"/>
    <w:rsid w:val="00CA3D0C"/>
    <w:rsid w:val="00CA654B"/>
    <w:rsid w:val="00CB72B8"/>
    <w:rsid w:val="00CD4C7B"/>
    <w:rsid w:val="00CD58FE"/>
    <w:rsid w:val="00CD6599"/>
    <w:rsid w:val="00CF4DD1"/>
    <w:rsid w:val="00D30E9B"/>
    <w:rsid w:val="00D33BE3"/>
    <w:rsid w:val="00D3792D"/>
    <w:rsid w:val="00D55E47"/>
    <w:rsid w:val="00D62E19"/>
    <w:rsid w:val="00D67CD1"/>
    <w:rsid w:val="00D72FC3"/>
    <w:rsid w:val="00D738D6"/>
    <w:rsid w:val="00D80795"/>
    <w:rsid w:val="00D854BE"/>
    <w:rsid w:val="00D85698"/>
    <w:rsid w:val="00D87E00"/>
    <w:rsid w:val="00D9134D"/>
    <w:rsid w:val="00D96D11"/>
    <w:rsid w:val="00DA7A03"/>
    <w:rsid w:val="00DB0DB8"/>
    <w:rsid w:val="00DB1818"/>
    <w:rsid w:val="00DC309B"/>
    <w:rsid w:val="00DC4DA2"/>
    <w:rsid w:val="00DC5261"/>
    <w:rsid w:val="00DE25D2"/>
    <w:rsid w:val="00DE4546"/>
    <w:rsid w:val="00E33AE0"/>
    <w:rsid w:val="00E46C08"/>
    <w:rsid w:val="00E471CF"/>
    <w:rsid w:val="00E62835"/>
    <w:rsid w:val="00E7240F"/>
    <w:rsid w:val="00E77645"/>
    <w:rsid w:val="00E83697"/>
    <w:rsid w:val="00E9522F"/>
    <w:rsid w:val="00EA66C9"/>
    <w:rsid w:val="00EC4A25"/>
    <w:rsid w:val="00EC7AAE"/>
    <w:rsid w:val="00EE38B7"/>
    <w:rsid w:val="00F025A2"/>
    <w:rsid w:val="00F036E9"/>
    <w:rsid w:val="00F07388"/>
    <w:rsid w:val="00F2026E"/>
    <w:rsid w:val="00F2210A"/>
    <w:rsid w:val="00F37743"/>
    <w:rsid w:val="00F54A3D"/>
    <w:rsid w:val="00F54CB0"/>
    <w:rsid w:val="00F579CD"/>
    <w:rsid w:val="00F653B8"/>
    <w:rsid w:val="00F71B89"/>
    <w:rsid w:val="00F7353C"/>
    <w:rsid w:val="00F76F8F"/>
    <w:rsid w:val="00F86DEF"/>
    <w:rsid w:val="00F941DF"/>
    <w:rsid w:val="00FA1266"/>
    <w:rsid w:val="00FA4915"/>
    <w:rsid w:val="00FB36FA"/>
    <w:rsid w:val="00FC1192"/>
    <w:rsid w:val="00FE251B"/>
    <w:rsid w:val="00FE74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3C76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C760C"/>
    <w:pPr>
      <w:ind w:left="720"/>
      <w:contextualSpacing/>
    </w:pPr>
  </w:style>
  <w:style w:type="character" w:styleId="CommentReference">
    <w:name w:val="annotation reference"/>
    <w:basedOn w:val="DefaultParagraphFont"/>
    <w:rsid w:val="007D5DBE"/>
    <w:rPr>
      <w:sz w:val="16"/>
      <w:szCs w:val="16"/>
    </w:rPr>
  </w:style>
  <w:style w:type="paragraph" w:styleId="CommentText">
    <w:name w:val="annotation text"/>
    <w:basedOn w:val="Normal"/>
    <w:link w:val="CommentTextChar"/>
    <w:rsid w:val="007D5DBE"/>
  </w:style>
  <w:style w:type="character" w:customStyle="1" w:styleId="CommentTextChar">
    <w:name w:val="Comment Text Char"/>
    <w:basedOn w:val="DefaultParagraphFont"/>
    <w:link w:val="CommentText"/>
    <w:rsid w:val="007D5DBE"/>
    <w:rPr>
      <w:lang w:eastAsia="en-US"/>
    </w:rPr>
  </w:style>
  <w:style w:type="paragraph" w:styleId="CommentSubject">
    <w:name w:val="annotation subject"/>
    <w:basedOn w:val="CommentText"/>
    <w:next w:val="CommentText"/>
    <w:link w:val="CommentSubjectChar"/>
    <w:rsid w:val="007D5DBE"/>
    <w:rPr>
      <w:b/>
      <w:bCs/>
    </w:rPr>
  </w:style>
  <w:style w:type="character" w:customStyle="1" w:styleId="CommentSubjectChar">
    <w:name w:val="Comment Subject Char"/>
    <w:basedOn w:val="CommentTextChar"/>
    <w:link w:val="CommentSubject"/>
    <w:rsid w:val="007D5DBE"/>
    <w:rPr>
      <w:b/>
      <w:bCs/>
      <w:lang w:eastAsia="en-US"/>
    </w:rPr>
  </w:style>
  <w:style w:type="paragraph" w:styleId="Caption">
    <w:name w:val="caption"/>
    <w:basedOn w:val="Normal"/>
    <w:next w:val="Normal"/>
    <w:unhideWhenUsed/>
    <w:qFormat/>
    <w:rsid w:val="00D85698"/>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5AIRPNAIUNRU-859666464-6074</_dlc_DocId>
    <_dlc_DocIdUrl xmlns="71c5aaf6-e6ce-465b-b873-5148d2a4c105">
      <Url>https://nokia.sharepoint.com/sites/c5g/e2earch/_layouts/15/DocIdRedir.aspx?ID=5AIRPNAIUNRU-859666464-6074</Url>
      <Description>5AIRPNAIUNRU-859666464-6074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E08479FA-5116-4DBA-A25D-228A31FEF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purl.org/dc/dcmitype/"/>
    <ds:schemaRef ds:uri="http://schemas.microsoft.com/office/2006/documentManagement/type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infopath/2007/PartnerControls"/>
    <ds:schemaRef ds:uri="3b34c8f0-1ef5-4d1e-bb66-517ce7fe7356"/>
    <ds:schemaRef ds:uri="http://www.w3.org/XML/1998/namespace"/>
  </ds:schemaRefs>
</ds:datastoreItem>
</file>

<file path=customXml/itemProps6.xml><?xml version="1.0" encoding="utf-8"?>
<ds:datastoreItem xmlns:ds="http://schemas.openxmlformats.org/officeDocument/2006/customXml" ds:itemID="{9D7E4560-1741-475D-9D0D-D4D424A26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365</TotalTime>
  <Pages>3</Pages>
  <Words>952</Words>
  <Characters>7592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8527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100</cp:revision>
  <dcterms:created xsi:type="dcterms:W3CDTF">2016-08-12T03:53:00Z</dcterms:created>
  <dcterms:modified xsi:type="dcterms:W3CDTF">2020-02-13T15:41:00Z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2d2368e3-38a9-4072-96e3-c96dc8e002f9</vt:lpwstr>
  </property>
</Properties>
</file>